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0" w:rsidRPr="0084516B" w:rsidRDefault="002B4D70" w:rsidP="002B4D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</w:t>
      </w:r>
      <w:r w:rsidR="006B3F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Nr83/2020</w:t>
      </w:r>
    </w:p>
    <w:p w:rsidR="002B4D70" w:rsidRPr="0084516B" w:rsidRDefault="002B4D70" w:rsidP="002B4D70">
      <w:pPr>
        <w:spacing w:before="100" w:beforeAutospacing="1" w:after="100" w:afterAutospacing="1" w:line="240" w:lineRule="auto"/>
        <w:ind w:left="283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5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Starosty Powiatu Wyszkowskiego</w:t>
      </w:r>
    </w:p>
    <w:p w:rsidR="002B4D70" w:rsidRPr="0084516B" w:rsidRDefault="006B3FFC" w:rsidP="002B4D70">
      <w:pPr>
        <w:spacing w:before="100" w:beforeAutospacing="1" w:after="100" w:afterAutospacing="1" w:line="240" w:lineRule="auto"/>
        <w:ind w:left="283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09 października 2020 r.</w:t>
      </w:r>
    </w:p>
    <w:p w:rsidR="002B4D70" w:rsidRPr="0084516B" w:rsidRDefault="002B4D70" w:rsidP="002B4D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4D70" w:rsidRPr="00EA1F46" w:rsidRDefault="002B4D70" w:rsidP="00C209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sprawie: wprowadzenia zasad </w:t>
      </w:r>
      <w:r w:rsidRPr="008451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ewidencji księgowej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dla potrzeb realizacji zadania</w:t>
      </w:r>
      <w:r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pn. „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9A58E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</w:t>
      </w:r>
      <w:r w:rsidR="00FB5C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ebudowa drogi powiatowej nr 4414W na odcinku  Wyszkó</w:t>
      </w:r>
      <w:r w:rsidR="00203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–Rybno-Kręgi –Somianka-  ETAP </w:t>
      </w:r>
      <w:r w:rsidR="00FB5C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V</w:t>
      </w:r>
      <w:r w:rsidR="00203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Poprawa bezpieczeństwa komunikacyjnego</w:t>
      </w:r>
      <w:r w:rsidR="00FB5C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="00EC364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dofinansowanego ze środków Funduszu Dróg Samorządowych</w:t>
      </w:r>
      <w:r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03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umowa o dofinansowanie NR FDS/70/2020 z dnia 18 września 2020</w:t>
      </w:r>
      <w:r w:rsidR="008662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</w:t>
      </w:r>
    </w:p>
    <w:p w:rsidR="009A58E6" w:rsidRDefault="009A58E6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34 ust.1 i art. 35 ust.2 ustawy z dnia 5 czerwca 1998 r o samorządzie powiatowym ( Dz.U </w:t>
      </w:r>
      <w:r w:rsidRPr="0084516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r. poz. 511 ),</w:t>
      </w:r>
      <w:r>
        <w:t xml:space="preserve"> 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ust. 2 ustawy z dnia 29 wrześ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1994 r. o rachunkowości ( Dz. U z 2019 r. poz. 351</w:t>
      </w:r>
      <w:r w:rsidR="00C2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16 ust. 1 rozporządzenia Ministra Finansów </w:t>
      </w:r>
      <w:r w:rsidR="00C209D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września 2017 r.</w:t>
      </w:r>
      <w:r w:rsidR="008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</w:t>
      </w:r>
      <w:r w:rsidR="00C209D5">
        <w:rPr>
          <w:rFonts w:ascii="Times New Roman" w:eastAsia="Times New Roman" w:hAnsi="Times New Roman" w:cs="Times New Roman"/>
          <w:sz w:val="24"/>
          <w:szCs w:val="24"/>
          <w:lang w:eastAsia="pl-PL"/>
        </w:rPr>
        <w:t>ospolitej Polskiej (Dz.U z 2020 r. poz. 342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:rsidR="009A58E6" w:rsidRDefault="009A58E6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8E6" w:rsidRDefault="009A58E6" w:rsidP="00C20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A58E6" w:rsidRDefault="00C209D5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Wprowadzić </w:t>
      </w:r>
      <w:r w:rsidR="009A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</w:t>
      </w:r>
      <w:r w:rsidR="0094070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ewidencji księgowej związane z realizacją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C209D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 „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C209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Przebudowa drogi powiatowej nr 4414W na odcinku  Wyszków –Rybno-Kręgi –Somianka-  ETAP V- Poprawa bezpieczeństwa komunikacyjnego”</w:t>
      </w:r>
      <w:r w:rsidR="00940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według załącznika do  niniejszego zarządzenia.</w:t>
      </w:r>
    </w:p>
    <w:p w:rsidR="00940701" w:rsidRDefault="00940701" w:rsidP="00C20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940701" w:rsidRDefault="00940701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stosują wskazani w jego treści pracownicy Wydziału Finansowego Starostwa Powiatowego w Wyszkowie.</w:t>
      </w:r>
    </w:p>
    <w:p w:rsidR="00940701" w:rsidRDefault="00940701" w:rsidP="00C20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940701" w:rsidRPr="00C5595D" w:rsidRDefault="00940701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zleca się Skarbnikowi i Naczelnikowi Wydziału Finansowego.</w:t>
      </w:r>
    </w:p>
    <w:p w:rsidR="00940701" w:rsidRPr="00EA1F46" w:rsidRDefault="00940701" w:rsidP="00C20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940701" w:rsidRDefault="00940701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 w życie z dniem podpisania z mocą obowiązującą od dnia podpisania umowy.</w:t>
      </w:r>
    </w:p>
    <w:p w:rsidR="00940701" w:rsidRDefault="00940701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01" w:rsidRDefault="00940701" w:rsidP="00C20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01" w:rsidRDefault="00940701" w:rsidP="0094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01" w:rsidRDefault="00940701" w:rsidP="0094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598" w:rsidRDefault="00901598" w:rsidP="00901598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6A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do </w:t>
      </w:r>
      <w:r w:rsidR="0088780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Nr83</w:t>
      </w:r>
      <w:r w:rsidR="006A191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8780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901598" w:rsidRDefault="00901598" w:rsidP="00901598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 Powiatu Wyszkowskiego </w:t>
      </w:r>
    </w:p>
    <w:p w:rsidR="00901598" w:rsidRDefault="00887801" w:rsidP="00DC25AD">
      <w:pPr>
        <w:spacing w:before="100" w:beforeAutospacing="1" w:after="100" w:afterAutospacing="1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09 października 2020 r.</w:t>
      </w:r>
    </w:p>
    <w:p w:rsidR="00203F18" w:rsidRDefault="00901598" w:rsidP="00DC25A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ewidencji księgowej w Starostwie Powiatowym w Wyszkowie w związku z realizacją </w:t>
      </w:r>
      <w:r w:rsidRPr="00901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„ Prz</w:t>
      </w:r>
      <w:r w:rsidR="00FB5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ebudowa drogi powiatowej nr 4414W na odcinku Wyszków-Rybno- Kręgi-Somianka</w:t>
      </w:r>
      <w:r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03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ETAP </w:t>
      </w:r>
      <w:r w:rsidR="00FB5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203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203F18" w:rsidRPr="00203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bezpieczeństwa komunikacyjnego”</w:t>
      </w:r>
      <w:r w:rsidR="00203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03F18" w:rsidRPr="00203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finansowanego ze środków Funduszu Dróg Samorządowych</w:t>
      </w:r>
      <w:r w:rsidR="00203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01598" w:rsidRDefault="00767B07" w:rsidP="00DC25A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następujące zasady ewidencji księgowej</w:t>
      </w:r>
      <w:r w:rsidR="005A2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związane z realizacją projektu:</w:t>
      </w:r>
    </w:p>
    <w:p w:rsidR="00901598" w:rsidRPr="005A28EE" w:rsidRDefault="005A28EE" w:rsidP="00DC25A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5A2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dpowiedzialnymi za ewidencji księgową</w:t>
      </w:r>
      <w:r w:rsidR="0017684E" w:rsidRPr="005A2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pracownicy Wydziału Finansowego</w:t>
      </w:r>
      <w:r w:rsidR="00DC25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 z zakresem czynności na danym stanowisku.</w:t>
      </w:r>
    </w:p>
    <w:p w:rsidR="00DC25AD" w:rsidRDefault="005A28EE" w:rsidP="00DC25A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DC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ałożono odrębny rachunek bankowy</w:t>
      </w:r>
      <w:r w:rsidR="00FB5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prowadzony </w:t>
      </w:r>
      <w:r w:rsidR="00DC5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PBS Wyszków o numerze </w:t>
      </w:r>
    </w:p>
    <w:p w:rsidR="0017684E" w:rsidRPr="00DC25AD" w:rsidRDefault="00FB5C76" w:rsidP="00DC25AD">
      <w:pPr>
        <w:spacing w:before="100" w:beforeAutospacing="1" w:after="100" w:afterAutospacing="1" w:line="36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25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40 8931 0003 0000 9191 2000 0544</w:t>
      </w:r>
      <w:r w:rsidR="00DC525B" w:rsidRPr="00DC25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którego będą dokonywane płatności i na który zostaną przekazane środki z Funduszu Dróg Samorządowych.</w:t>
      </w:r>
    </w:p>
    <w:p w:rsidR="00DC525B" w:rsidRPr="00FE6DE4" w:rsidRDefault="005A28EE" w:rsidP="00DC25A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6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wyodrębniono ewidencje księgową , w tym:</w:t>
      </w:r>
    </w:p>
    <w:p w:rsidR="005A28EE" w:rsidRPr="005A28EE" w:rsidRDefault="005A28EE" w:rsidP="00DC25A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28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kont syntetycznych (księgi głównej )</w:t>
      </w:r>
      <w:r w:rsidR="008E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A28EE" w:rsidRDefault="005A28EE" w:rsidP="00DC25A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kont analitycznych (księgi pomocnicze)</w:t>
      </w:r>
      <w:r w:rsidR="008E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E1E8D" w:rsidRDefault="008E1E8D" w:rsidP="00DC25AD">
      <w:pPr>
        <w:spacing w:before="100" w:beforeAutospacing="1" w:after="100" w:afterAutospacing="1" w:line="36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 </w:t>
      </w:r>
      <w:r w:rsidR="00A037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5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porządza się z poniesionych dochodów i wydatków 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prawozdanie budżetowe R</w:t>
      </w:r>
      <w:r w:rsidR="005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-27S </w:t>
      </w:r>
      <w:r w:rsidR="005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RB 28 S za okresy</w:t>
      </w:r>
      <w:r w:rsidR="00EB5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miesięczne ,kwartalne i roczne, które wchodzi do łącznego sprawozdania RB-27S i RB-28S   jednostki- Starostwa Powiatowego w Wyszkowie.</w:t>
      </w:r>
    </w:p>
    <w:p w:rsidR="00A03783" w:rsidRDefault="00A03783" w:rsidP="00DC25AD">
      <w:pPr>
        <w:spacing w:before="100" w:beforeAutospacing="1" w:after="100" w:afterAutospacing="1" w:line="36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w </w:t>
      </w:r>
      <w:r w:rsidR="00EB5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Organie dokonuje się pod datą wpływu dotacji na wyodrębniony rachunek bankowy </w:t>
      </w:r>
      <w:r w:rsidR="00F07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dodatkowego zapisu księgowego </w:t>
      </w:r>
      <w:r w:rsidR="00EB5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( 223/222)</w:t>
      </w:r>
      <w:r w:rsidR="00BE7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następnie rozlicza się </w:t>
      </w:r>
      <w:r w:rsidR="00F07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wpływ dotacji oraz </w:t>
      </w:r>
      <w:r w:rsidR="00BE7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poniesione wydatki  na podstawie przedłożonych sprawozdań budżetowych RB-27S RB28S pod datą każdego dnia miesiąca</w:t>
      </w:r>
    </w:p>
    <w:p w:rsidR="00FE6DE4" w:rsidRPr="00A03783" w:rsidRDefault="00F07596" w:rsidP="00DC25AD">
      <w:pPr>
        <w:spacing w:before="100" w:beforeAutospacing="1" w:after="100" w:afterAutospacing="1" w:line="36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FE6DE4">
        <w:rPr>
          <w:rFonts w:ascii="Times New Roman" w:eastAsia="Times New Roman" w:hAnsi="Times New Roman" w:cs="Times New Roman"/>
          <w:sz w:val="24"/>
          <w:szCs w:val="24"/>
          <w:lang w:eastAsia="pl-PL"/>
        </w:rPr>
        <w:t>) e</w:t>
      </w:r>
      <w:r w:rsidR="00FE6DE4" w:rsidRPr="00501DBC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widencja i rozlic</w:t>
      </w:r>
      <w:r w:rsidR="00FE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 środków w ramach zadania </w:t>
      </w:r>
      <w:r w:rsidR="00FE6DE4" w:rsidRPr="00501DBC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 ra</w:t>
      </w:r>
      <w:r w:rsidR="00A03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mach przyjętych </w:t>
      </w:r>
      <w:r w:rsidR="00C209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FE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Wyszkowie  zasad (polityki)</w:t>
      </w:r>
      <w:r w:rsidR="00FE6DE4" w:rsidRPr="0050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rachunkowości.</w:t>
      </w:r>
    </w:p>
    <w:p w:rsidR="00FE6DE4" w:rsidRPr="00C5595D" w:rsidRDefault="00767B07" w:rsidP="00490C1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FE6DE4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="00FE6DE4"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 się kod księgowy w formie cyfrowy </w:t>
      </w:r>
      <w:r w:rsidR="00FF5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,,50</w:t>
      </w:r>
      <w:r w:rsidR="00FE6DE4" w:rsidRPr="00C55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FE6DE4"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operacji  gospodarczych </w:t>
      </w:r>
      <w:r w:rsidR="00FE6DE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realizacją zadania</w:t>
      </w:r>
      <w:r w:rsidR="00FE6DE4"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3783" w:rsidRDefault="00767B07" w:rsidP="00490C1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3F7857" w:rsidRPr="00767B07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wyodrębniona ewidencja finansowo-księgowa prowadzona jest w programie Pakiet dla Administracji  w module „BUDZET” firmy INFO-System s.c. Roman i Tadeusz Groszek.</w:t>
      </w:r>
    </w:p>
    <w:p w:rsidR="003F7857" w:rsidRPr="00A03783" w:rsidRDefault="00A03783" w:rsidP="00490C1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3F7857" w:rsidRPr="00A03783">
        <w:rPr>
          <w:rFonts w:ascii="Times New Roman" w:hAnsi="Times New Roman" w:cs="Times New Roman"/>
          <w:sz w:val="24"/>
          <w:szCs w:val="24"/>
        </w:rPr>
        <w:t>do dekretacji dokumentów upoważniam pracowników Wydziału Finansowego (Główny specjalista ds. rachunkowości budżetowej, i Naczelnika Wydziału Finansowego)</w:t>
      </w:r>
    </w:p>
    <w:p w:rsidR="00490C10" w:rsidRDefault="00A03783" w:rsidP="00490C10">
      <w:pPr>
        <w:pStyle w:val="Default"/>
        <w:spacing w:line="360" w:lineRule="auto"/>
        <w:jc w:val="both"/>
      </w:pPr>
      <w:r>
        <w:t xml:space="preserve">     </w:t>
      </w:r>
      <w:r w:rsidR="003F7857">
        <w:t>2</w:t>
      </w:r>
      <w:r>
        <w:t xml:space="preserve">.Deketacja polega na </w:t>
      </w:r>
      <w:r w:rsidR="00490C10">
        <w:t>:</w:t>
      </w:r>
    </w:p>
    <w:p w:rsidR="003F7857" w:rsidRDefault="00A03783" w:rsidP="00490C10">
      <w:pPr>
        <w:pStyle w:val="Default"/>
        <w:spacing w:line="360" w:lineRule="auto"/>
        <w:jc w:val="both"/>
      </w:pPr>
      <w:r>
        <w:t xml:space="preserve"> </w:t>
      </w:r>
      <w:r w:rsidR="00490C10">
        <w:t xml:space="preserve">    </w:t>
      </w:r>
      <w:r w:rsidR="003F7857">
        <w:t>1)</w:t>
      </w:r>
      <w:r w:rsidR="003F7857">
        <w:tab/>
        <w:t xml:space="preserve">umieszczeniu w dokumentach adnotacji, na jakich kontach dokument ma być </w:t>
      </w:r>
      <w:r w:rsidR="00641732">
        <w:t xml:space="preserve">      </w:t>
      </w:r>
      <w:r w:rsidR="00490C10">
        <w:t xml:space="preserve">      </w:t>
      </w:r>
      <w:r w:rsidR="003F7857">
        <w:t>zaksięgowany,</w:t>
      </w:r>
    </w:p>
    <w:p w:rsidR="003F7857" w:rsidRDefault="00A03783" w:rsidP="00490C10">
      <w:pPr>
        <w:pStyle w:val="Default"/>
        <w:spacing w:line="360" w:lineRule="auto"/>
        <w:jc w:val="both"/>
      </w:pPr>
      <w:r>
        <w:t xml:space="preserve"> </w:t>
      </w:r>
      <w:r w:rsidR="003F7857">
        <w:t>2) określenie daty, pod jaką dowód ma być ujęty w księgach,</w:t>
      </w:r>
    </w:p>
    <w:p w:rsidR="006A191A" w:rsidRDefault="00A03783" w:rsidP="00490C10">
      <w:pPr>
        <w:pStyle w:val="Default"/>
        <w:spacing w:line="360" w:lineRule="auto"/>
        <w:jc w:val="both"/>
      </w:pPr>
      <w:r>
        <w:t xml:space="preserve"> </w:t>
      </w:r>
      <w:r w:rsidR="003F7857">
        <w:t>3) podpis osoby upoważnionej do dekretacji.</w:t>
      </w:r>
    </w:p>
    <w:p w:rsidR="00490C10" w:rsidRDefault="00490C10" w:rsidP="00490C10">
      <w:pPr>
        <w:pStyle w:val="Default"/>
        <w:spacing w:line="360" w:lineRule="auto"/>
        <w:jc w:val="both"/>
      </w:pPr>
    </w:p>
    <w:p w:rsidR="00490C10" w:rsidRDefault="00531887" w:rsidP="00490C10">
      <w:pPr>
        <w:pStyle w:val="Default"/>
        <w:spacing w:line="360" w:lineRule="auto"/>
        <w:jc w:val="both"/>
      </w:pPr>
      <w:r>
        <w:t xml:space="preserve"> 3.Obieg,opis i</w:t>
      </w:r>
      <w:r w:rsidR="00A03783">
        <w:t xml:space="preserve"> kontrola dokumentów księgowych</w:t>
      </w:r>
    </w:p>
    <w:p w:rsidR="00531887" w:rsidRDefault="00531887" w:rsidP="00490C10">
      <w:pPr>
        <w:pStyle w:val="Default"/>
        <w:spacing w:line="360" w:lineRule="auto"/>
        <w:jc w:val="both"/>
      </w:pPr>
      <w:r>
        <w:t>1)</w:t>
      </w:r>
      <w:r w:rsidR="00A03783">
        <w:t xml:space="preserve"> r</w:t>
      </w:r>
      <w:r w:rsidRPr="00531887">
        <w:t>ealizacja wyda</w:t>
      </w:r>
      <w:r>
        <w:t xml:space="preserve">tków następuje zgodnie z  podpisaną umową </w:t>
      </w:r>
      <w:r w:rsidR="00A03783">
        <w:t xml:space="preserve">i, aneksami i </w:t>
      </w:r>
      <w:r w:rsidRPr="00531887">
        <w:t xml:space="preserve">harmonogramami, na podstawie prawidłowo </w:t>
      </w:r>
      <w:r>
        <w:t>wystawioną, opisaną</w:t>
      </w:r>
      <w:r w:rsidRPr="00531887">
        <w:t xml:space="preserve"> i </w:t>
      </w:r>
      <w:r>
        <w:t>zatwierdzonymi i  dokumentami księgowymi</w:t>
      </w:r>
      <w:r w:rsidRPr="00531887">
        <w:t xml:space="preserve">. </w:t>
      </w:r>
    </w:p>
    <w:p w:rsidR="00531887" w:rsidRDefault="00C30847" w:rsidP="00490C10">
      <w:pPr>
        <w:pStyle w:val="Default"/>
        <w:spacing w:line="360" w:lineRule="auto"/>
        <w:jc w:val="both"/>
      </w:pPr>
      <w:r>
        <w:t>2)</w:t>
      </w:r>
      <w:r w:rsidR="00531887" w:rsidRPr="00531887">
        <w:t xml:space="preserve"> Płatności dokonywane są w formie bezgotówkowej za pomocą elektronicznego </w:t>
      </w:r>
      <w:r w:rsidR="00531887">
        <w:t xml:space="preserve">systemu </w:t>
      </w:r>
      <w:proofErr w:type="spellStart"/>
      <w:r w:rsidR="00531887">
        <w:t>eCORPONET</w:t>
      </w:r>
      <w:proofErr w:type="spellEnd"/>
      <w:r w:rsidR="00531887" w:rsidRPr="00531887">
        <w:t xml:space="preserve">, na podstawie dokumentów księgowych stwierdzających konieczność dokonania ww. przelewu. Potwierdzeniem dokonania przelewu/zapłaty jest wtórnik zlecenia oraz wyciąg bankowy. </w:t>
      </w:r>
    </w:p>
    <w:p w:rsidR="00C30847" w:rsidRDefault="00C30847" w:rsidP="00490C10">
      <w:pPr>
        <w:pStyle w:val="Default"/>
        <w:spacing w:line="360" w:lineRule="auto"/>
        <w:jc w:val="both"/>
      </w:pPr>
      <w:r>
        <w:t xml:space="preserve"> 3)</w:t>
      </w:r>
      <w:r w:rsidR="00531887" w:rsidRPr="00531887">
        <w:t xml:space="preserve"> Dowody księgowe (faktury) dotyczące zatwierdzeni</w:t>
      </w:r>
      <w:r w:rsidR="00531887">
        <w:t>a i akceptacji z</w:t>
      </w:r>
      <w:r w:rsidR="00531887" w:rsidRPr="00531887">
        <w:t>adania finansowanego ze</w:t>
      </w:r>
      <w:r w:rsidR="00531887">
        <w:t xml:space="preserve"> środków  FDS oraz własnych </w:t>
      </w:r>
      <w:r w:rsidR="00531887" w:rsidRPr="00531887">
        <w:t xml:space="preserve"> po</w:t>
      </w:r>
      <w:r w:rsidR="00531887">
        <w:t xml:space="preserve">dpisane są przez Starostę </w:t>
      </w:r>
      <w:r w:rsidR="00531887" w:rsidRPr="00531887">
        <w:t xml:space="preserve"> lub </w:t>
      </w:r>
      <w:r w:rsidR="00531887">
        <w:t>Wicestarostę</w:t>
      </w:r>
      <w:r w:rsidR="00531887" w:rsidRPr="00531887">
        <w:t xml:space="preserve"> oraz</w:t>
      </w:r>
      <w:r w:rsidR="00531887">
        <w:t xml:space="preserve"> Skarbnika lub Naczelnika Wydziału Finansowego</w:t>
      </w:r>
      <w:r w:rsidR="00531887" w:rsidRPr="00531887">
        <w:t>.</w:t>
      </w:r>
    </w:p>
    <w:p w:rsidR="00C30847" w:rsidRDefault="00C30847" w:rsidP="00490C10">
      <w:pPr>
        <w:pStyle w:val="Default"/>
        <w:spacing w:line="360" w:lineRule="auto"/>
        <w:jc w:val="both"/>
      </w:pPr>
      <w:r>
        <w:t>4)</w:t>
      </w:r>
      <w:r w:rsidR="00531887" w:rsidRPr="00531887">
        <w:t xml:space="preserve"> Pod względem merytorycznym faktury podp</w:t>
      </w:r>
      <w:r w:rsidR="00531887">
        <w:t>isuje Naczelnik</w:t>
      </w:r>
      <w:r w:rsidR="00A641A0">
        <w:t xml:space="preserve"> Wydziału Dróg i Inwestycji</w:t>
      </w:r>
      <w:r w:rsidR="00531887" w:rsidRPr="00531887">
        <w:t xml:space="preserve">, </w:t>
      </w:r>
      <w:r w:rsidR="00A641A0">
        <w:t xml:space="preserve"> </w:t>
      </w:r>
      <w:r w:rsidR="00531887" w:rsidRPr="00531887">
        <w:t>który poświadcza faktyczne i prawidłowe poniesienie wydatków oraz ich kwalifikowalność, sprawdza czy dane zawarte na dowodach księgowych są zgodne z zawartą umową o dof</w:t>
      </w:r>
      <w:r w:rsidR="00A641A0">
        <w:t>inansowanie z</w:t>
      </w:r>
      <w:r w:rsidR="00531887" w:rsidRPr="00531887">
        <w:t>adania, umową z wykonawcą zadania, harmonogramem rzeczowo – finansowym.</w:t>
      </w:r>
    </w:p>
    <w:p w:rsidR="00DF70FC" w:rsidRPr="00DF70FC" w:rsidRDefault="00C30847" w:rsidP="00490C10">
      <w:pPr>
        <w:pStyle w:val="Default"/>
        <w:spacing w:line="360" w:lineRule="auto"/>
        <w:jc w:val="both"/>
      </w:pPr>
      <w:r>
        <w:t>5)</w:t>
      </w:r>
      <w:r w:rsidR="00531887" w:rsidRPr="00531887">
        <w:t xml:space="preserve"> Pod względem zgodności z ustawą Prawo Zamówień Publicznych dokumenty podpisuje inspektor do spraw zamówień </w:t>
      </w:r>
      <w:r w:rsidR="00DF70FC">
        <w:t xml:space="preserve">publicznych. </w:t>
      </w:r>
      <w:r w:rsidR="00531887" w:rsidRPr="00531887">
        <w:t xml:space="preserve"> Pod względem formalnym i rachunkowym dowody księgowe podpisywane są prz</w:t>
      </w:r>
      <w:r w:rsidR="00DF70FC">
        <w:t>ez pracownika wydziału finansowego</w:t>
      </w:r>
      <w:r w:rsidR="00531887" w:rsidRPr="00531887">
        <w:t xml:space="preserve"> – inspektora do spraw </w:t>
      </w:r>
      <w:r w:rsidR="00DF70FC">
        <w:t>księgowości budżetowej</w:t>
      </w:r>
      <w:r w:rsidR="00531887" w:rsidRPr="00531887">
        <w:t xml:space="preserve">. </w:t>
      </w:r>
      <w:r w:rsidR="00682007">
        <w:rPr>
          <w:rFonts w:eastAsia="Times New Roman"/>
          <w:bCs/>
          <w:lang w:eastAsia="pl-PL"/>
        </w:rPr>
        <w:t xml:space="preserve"> </w:t>
      </w:r>
    </w:p>
    <w:p w:rsidR="00490C10" w:rsidRDefault="00490C10" w:rsidP="00490C10">
      <w:pPr>
        <w:pStyle w:val="Default"/>
        <w:spacing w:line="360" w:lineRule="auto"/>
        <w:jc w:val="both"/>
      </w:pPr>
    </w:p>
    <w:p w:rsidR="00DF70FC" w:rsidRPr="00783C6C" w:rsidRDefault="00DF70FC" w:rsidP="00490C10">
      <w:pPr>
        <w:pStyle w:val="Default"/>
        <w:spacing w:line="360" w:lineRule="auto"/>
        <w:jc w:val="both"/>
        <w:rPr>
          <w:rFonts w:eastAsia="Times New Roman"/>
          <w:bCs/>
          <w:lang w:eastAsia="pl-PL"/>
        </w:rPr>
      </w:pPr>
      <w:r>
        <w:lastRenderedPageBreak/>
        <w:t>4.</w:t>
      </w:r>
      <w:r w:rsidRPr="00AC6893">
        <w:t>Do dokonywania ewidencji zdarzeń gospodarczych w tra</w:t>
      </w:r>
      <w:r>
        <w:t xml:space="preserve">kcie realizacji projektu ustala </w:t>
      </w:r>
      <w:r w:rsidRPr="00AC6893">
        <w:t xml:space="preserve">się </w:t>
      </w:r>
      <w:r>
        <w:rPr>
          <w:rFonts w:eastAsia="Times New Roman"/>
          <w:bCs/>
          <w:lang w:eastAsia="pl-PL"/>
        </w:rPr>
        <w:t>wykaz kont  związanych z realizacją  „</w:t>
      </w:r>
      <w:r w:rsidRPr="00901598">
        <w:rPr>
          <w:rFonts w:eastAsia="Times New Roman"/>
          <w:lang w:eastAsia="pl-PL"/>
        </w:rPr>
        <w:t xml:space="preserve">zadania </w:t>
      </w:r>
      <w:r w:rsidRPr="00901598">
        <w:rPr>
          <w:rFonts w:eastAsia="Times New Roman"/>
          <w:bCs/>
          <w:lang w:eastAsia="pl-PL"/>
        </w:rPr>
        <w:t xml:space="preserve"> pn. „ Prz</w:t>
      </w:r>
      <w:r w:rsidR="00225406">
        <w:rPr>
          <w:rFonts w:eastAsia="Times New Roman"/>
          <w:bCs/>
          <w:lang w:eastAsia="pl-PL"/>
        </w:rPr>
        <w:t>ebudowa drogi powiatowej nr 4414</w:t>
      </w:r>
      <w:r w:rsidR="001A483E">
        <w:rPr>
          <w:rFonts w:eastAsia="Times New Roman"/>
          <w:bCs/>
          <w:lang w:eastAsia="pl-PL"/>
        </w:rPr>
        <w:t xml:space="preserve">W na odcinku Wyszków- Rybno-Kręgi-Somianka </w:t>
      </w:r>
      <w:r w:rsidRPr="00901598">
        <w:rPr>
          <w:rFonts w:eastAsia="Times New Roman"/>
          <w:bCs/>
          <w:lang w:eastAsia="pl-PL"/>
        </w:rPr>
        <w:t>Etap I</w:t>
      </w:r>
      <w:r w:rsidR="00225406">
        <w:rPr>
          <w:rFonts w:eastAsia="Times New Roman"/>
          <w:bCs/>
          <w:lang w:eastAsia="pl-PL"/>
        </w:rPr>
        <w:t>V</w:t>
      </w:r>
      <w:r>
        <w:rPr>
          <w:rFonts w:eastAsia="Times New Roman"/>
          <w:bCs/>
          <w:lang w:eastAsia="pl-PL"/>
        </w:rPr>
        <w:t>”</w:t>
      </w:r>
      <w:r w:rsidRPr="00901598">
        <w:rPr>
          <w:rFonts w:eastAsia="Times New Roman"/>
          <w:bCs/>
          <w:lang w:eastAsia="pl-PL"/>
        </w:rPr>
        <w:t xml:space="preserve"> dofinansowanego ze środk</w:t>
      </w:r>
      <w:r>
        <w:rPr>
          <w:rFonts w:eastAsia="Times New Roman"/>
          <w:bCs/>
          <w:lang w:eastAsia="pl-PL"/>
        </w:rPr>
        <w:t xml:space="preserve">ów Funduszu Dróg Samorządowych. </w:t>
      </w:r>
    </w:p>
    <w:p w:rsidR="00767B07" w:rsidRDefault="006A191A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E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Budżet- Organ</w:t>
      </w:r>
    </w:p>
    <w:p w:rsidR="00682007" w:rsidRDefault="00682007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2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222-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Rozliczenie dochodów budżetowych,</w:t>
      </w:r>
    </w:p>
    <w:p w:rsidR="00682007" w:rsidRPr="00682007" w:rsidRDefault="00682007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223- Rozliczenie wydatków budżetowych,</w:t>
      </w:r>
    </w:p>
    <w:p w:rsidR="00767B07" w:rsidRDefault="00767B07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901- Dochody budżetowe,</w:t>
      </w:r>
    </w:p>
    <w:p w:rsidR="00EB54BA" w:rsidRDefault="009049E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902- Wydatki budżetowe</w:t>
      </w:r>
      <w:r w:rsidR="00EB5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A191A" w:rsidRDefault="009049E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961- Niedobór lub nadwyżka budżetu</w:t>
      </w:r>
      <w:r w:rsidR="006A191A"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9049E1" w:rsidRPr="008E1E8D" w:rsidRDefault="009049E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E1E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Jednostka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011-1-2-50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Środki trwałe,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Środki trwałe w budowie,</w:t>
      </w:r>
      <w:r w:rsidR="00BF10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analityka w podziale koszty sfinansowane ze środków FSD budżetu powiatu, 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Rachunek bieżący jednostki, ( analityka )</w:t>
      </w:r>
    </w:p>
    <w:p w:rsidR="009049E1" w:rsidRDefault="00FB5C76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130-42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-1 – środki własne  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-3- środki otrzymane z FDS,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222-50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Rozliczenie dochodów budżetowych,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223-50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Rozliczenie wydatków budżetowych,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Pozostałe rozrachunki,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402-430-50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prowizje bankowe,</w:t>
      </w:r>
    </w:p>
    <w:p w:rsidR="008E1E8D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przychody – środki z FDS ujęte jako dochody budżetowe,</w:t>
      </w:r>
    </w:p>
    <w:p w:rsidR="009049E1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800-50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Fundusz jednostki,</w:t>
      </w:r>
    </w:p>
    <w:p w:rsidR="008E1E8D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810 -50</w:t>
      </w:r>
      <w:r w:rsidR="008E1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Dotacje budżetowe, płatności z budżetu środków europejskich oraz środki z budżetu na inwestycje</w:t>
      </w:r>
    </w:p>
    <w:p w:rsidR="008E1E8D" w:rsidRDefault="00FF5D11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860-50</w:t>
      </w:r>
      <w:r w:rsidR="009049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Wynik finansowy,</w:t>
      </w:r>
    </w:p>
    <w:p w:rsidR="00682007" w:rsidRDefault="00C30847" w:rsidP="00490C1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682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2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Ewidencja operacji finansowych związanych z realizacją „</w:t>
      </w:r>
      <w:r w:rsidR="00682007" w:rsidRPr="00901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682007"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„ Prz</w:t>
      </w:r>
      <w:r w:rsidR="00420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ebudowa drogi powiatowej nr 4414</w:t>
      </w:r>
      <w:r w:rsidR="00682007"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 o</w:t>
      </w:r>
      <w:r w:rsidR="00420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dcinku  Wyszków-Rybno-Kręgi –Somianka </w:t>
      </w:r>
      <w:r w:rsidR="00682007"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 I</w:t>
      </w:r>
      <w:r w:rsidR="00420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82007"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0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 </w:t>
      </w:r>
      <w:r w:rsidR="00682007" w:rsidRPr="009015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dofinansowanego ze środków Funduszu Dróg Samorządowych dofinansowanego ze środków Funduszu Dróg Samorządowych</w:t>
      </w:r>
      <w:r w:rsidR="00682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490C10" w:rsidRDefault="00490C10" w:rsidP="00A037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145"/>
        <w:gridCol w:w="1905"/>
        <w:gridCol w:w="1843"/>
        <w:gridCol w:w="1276"/>
      </w:tblGrid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Jednostka- katalog ,,Budżet”</w:t>
            </w:r>
          </w:p>
        </w:tc>
        <w:tc>
          <w:tcPr>
            <w:tcW w:w="184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Jednostka- katalog ,,FDS”</w:t>
            </w:r>
          </w:p>
        </w:tc>
        <w:tc>
          <w:tcPr>
            <w:tcW w:w="1276" w:type="dxa"/>
          </w:tcPr>
          <w:p w:rsidR="00A36DEA" w:rsidRPr="00A36DEA" w:rsidRDefault="00A36DEA" w:rsidP="00A36D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</w:t>
            </w:r>
            <w:r w:rsidRPr="00A36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</w:t>
            </w: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Wpływ środków z Funduszu Dróg Samorządowych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130-50-3/720-50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Środki z budżetu na udział własny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130/223</w:t>
            </w:r>
          </w:p>
        </w:tc>
        <w:tc>
          <w:tcPr>
            <w:tcW w:w="184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223/133</w:t>
            </w: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Faktury wykonawców</w:t>
            </w:r>
          </w:p>
        </w:tc>
        <w:tc>
          <w:tcPr>
            <w:tcW w:w="1905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080-50-1/240-50</w:t>
            </w: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080-50-3/240-50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Zapłata zobowiązań-faktury wykonawców</w:t>
            </w:r>
          </w:p>
        </w:tc>
        <w:tc>
          <w:tcPr>
            <w:tcW w:w="1905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240/50/130-50</w:t>
            </w:r>
            <w:r w:rsidR="00A36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240-50/130-50</w:t>
            </w:r>
            <w:r w:rsidR="00A36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-3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Równowartość dokonanych wydatków  na sfinansowanie inwestycji ( zapis równoległy do poz.4)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810-50/800/50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Przeksięgowanie miesięczne poniesionych wydatków ze środków własnych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902/223</w:t>
            </w:r>
          </w:p>
        </w:tc>
      </w:tr>
      <w:tr w:rsidR="00A36DEA" w:rsidTr="00A36DEA">
        <w:tc>
          <w:tcPr>
            <w:tcW w:w="623" w:type="dxa"/>
          </w:tcPr>
          <w:p w:rsidR="00A36DEA" w:rsidRDefault="00A36DEA" w:rsidP="00DF70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Przeksięgowanie dochodów na realizację poniesionych wydatków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222-50/223/50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DF70F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Przyjęcie środka trwałego</w:t>
            </w:r>
          </w:p>
        </w:tc>
        <w:tc>
          <w:tcPr>
            <w:tcW w:w="1905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011-1-2-50/080-50</w:t>
            </w:r>
          </w:p>
        </w:tc>
        <w:tc>
          <w:tcPr>
            <w:tcW w:w="184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Roczne przeksięgowanie przychodów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860-50/720-50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Zwrot odsetek zgromadzonych na wyodrębnionym rachunku bankowym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240-50/130-50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Przeksięgowanie na podstawie sprawozdań RB27S zrealizowanych dochodów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800-50/222-50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Przeksięgowanie na podstawie sprawozdań RB28S zrealizowanych wydatków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223-50/800-50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45" w:type="dxa"/>
          </w:tcPr>
          <w:p w:rsidR="00A36DEA" w:rsidRDefault="00FB41A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Przeksięgowanie</w:t>
            </w:r>
            <w:r w:rsidR="00A36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wyniku finansowego po zatwierdzeniu sprawozdania finansowego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860-50/800-50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36DEA" w:rsidTr="00A36DEA">
        <w:tc>
          <w:tcPr>
            <w:tcW w:w="623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4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Przeksięgowanie zaangażowanych środków</w:t>
            </w:r>
          </w:p>
        </w:tc>
        <w:tc>
          <w:tcPr>
            <w:tcW w:w="1905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36DEA" w:rsidRDefault="00FF5D11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998-50</w:t>
            </w:r>
          </w:p>
        </w:tc>
        <w:tc>
          <w:tcPr>
            <w:tcW w:w="1276" w:type="dxa"/>
          </w:tcPr>
          <w:p w:rsidR="00A36DEA" w:rsidRDefault="00A36DEA" w:rsidP="00BF10C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82007" w:rsidRDefault="00682007" w:rsidP="006A1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2007" w:rsidRDefault="00682007" w:rsidP="006A1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49E1" w:rsidRPr="009049E1" w:rsidRDefault="009049E1" w:rsidP="006A1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28EE" w:rsidRPr="006A191A" w:rsidRDefault="005A28EE" w:rsidP="006A1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28EE" w:rsidRPr="005A28EE" w:rsidRDefault="005A28EE" w:rsidP="005A28EE">
      <w:pPr>
        <w:pStyle w:val="Akapitzlist"/>
        <w:spacing w:before="100" w:beforeAutospacing="1" w:after="100" w:afterAutospacing="1" w:line="240" w:lineRule="auto"/>
        <w:ind w:left="78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0701" w:rsidRDefault="00940701" w:rsidP="0094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01" w:rsidRDefault="00940701" w:rsidP="0094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01" w:rsidRPr="00EA1F46" w:rsidRDefault="00940701" w:rsidP="009A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D7A" w:rsidRDefault="00FF5D11"/>
    <w:sectPr w:rsidR="002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9E8"/>
    <w:multiLevelType w:val="hybridMultilevel"/>
    <w:tmpl w:val="15FE0E68"/>
    <w:lvl w:ilvl="0" w:tplc="FF0E41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B9184B"/>
    <w:multiLevelType w:val="hybridMultilevel"/>
    <w:tmpl w:val="7686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638"/>
    <w:multiLevelType w:val="hybridMultilevel"/>
    <w:tmpl w:val="8814E4B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4BC5"/>
    <w:multiLevelType w:val="hybridMultilevel"/>
    <w:tmpl w:val="8686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02E"/>
    <w:multiLevelType w:val="hybridMultilevel"/>
    <w:tmpl w:val="EEC23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50155"/>
    <w:multiLevelType w:val="hybridMultilevel"/>
    <w:tmpl w:val="3D0ECC14"/>
    <w:lvl w:ilvl="0" w:tplc="924A847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34AE"/>
    <w:multiLevelType w:val="hybridMultilevel"/>
    <w:tmpl w:val="043A8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11CA1"/>
    <w:multiLevelType w:val="hybridMultilevel"/>
    <w:tmpl w:val="6C927D9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0"/>
    <w:rsid w:val="00040CDC"/>
    <w:rsid w:val="000E360E"/>
    <w:rsid w:val="0017684E"/>
    <w:rsid w:val="001A483E"/>
    <w:rsid w:val="001B0254"/>
    <w:rsid w:val="00203F18"/>
    <w:rsid w:val="00225406"/>
    <w:rsid w:val="002B4D70"/>
    <w:rsid w:val="003F7857"/>
    <w:rsid w:val="00420C4F"/>
    <w:rsid w:val="00490C10"/>
    <w:rsid w:val="004A1757"/>
    <w:rsid w:val="00531887"/>
    <w:rsid w:val="005413ED"/>
    <w:rsid w:val="00576892"/>
    <w:rsid w:val="005A28EE"/>
    <w:rsid w:val="00641732"/>
    <w:rsid w:val="00682007"/>
    <w:rsid w:val="006A191A"/>
    <w:rsid w:val="006B3FFC"/>
    <w:rsid w:val="007679F4"/>
    <w:rsid w:val="00767B07"/>
    <w:rsid w:val="00783C6C"/>
    <w:rsid w:val="00822E31"/>
    <w:rsid w:val="00866277"/>
    <w:rsid w:val="00887801"/>
    <w:rsid w:val="008E1E8D"/>
    <w:rsid w:val="00901598"/>
    <w:rsid w:val="009049E1"/>
    <w:rsid w:val="00940701"/>
    <w:rsid w:val="009A58E6"/>
    <w:rsid w:val="00A03783"/>
    <w:rsid w:val="00A05A4C"/>
    <w:rsid w:val="00A36DEA"/>
    <w:rsid w:val="00A641A0"/>
    <w:rsid w:val="00A972ED"/>
    <w:rsid w:val="00B313E7"/>
    <w:rsid w:val="00B36510"/>
    <w:rsid w:val="00BE74BF"/>
    <w:rsid w:val="00BF10CC"/>
    <w:rsid w:val="00C209D5"/>
    <w:rsid w:val="00C30847"/>
    <w:rsid w:val="00C328FA"/>
    <w:rsid w:val="00C670DC"/>
    <w:rsid w:val="00D42A9D"/>
    <w:rsid w:val="00DC25AD"/>
    <w:rsid w:val="00DC525B"/>
    <w:rsid w:val="00DF70FC"/>
    <w:rsid w:val="00E93432"/>
    <w:rsid w:val="00EB54BA"/>
    <w:rsid w:val="00EC3648"/>
    <w:rsid w:val="00F07596"/>
    <w:rsid w:val="00FA6798"/>
    <w:rsid w:val="00FB41A1"/>
    <w:rsid w:val="00FB5C76"/>
    <w:rsid w:val="00FE6DE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00AD-ACC4-47C2-A806-71772E6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598"/>
    <w:pPr>
      <w:ind w:left="720"/>
      <w:contextualSpacing/>
    </w:pPr>
  </w:style>
  <w:style w:type="paragraph" w:customStyle="1" w:styleId="Default">
    <w:name w:val="Default"/>
    <w:rsid w:val="003F7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Polak</dc:creator>
  <cp:keywords/>
  <dc:description/>
  <cp:lastModifiedBy>Danuta Polak</cp:lastModifiedBy>
  <cp:revision>2</cp:revision>
  <cp:lastPrinted>2020-10-13T13:30:00Z</cp:lastPrinted>
  <dcterms:created xsi:type="dcterms:W3CDTF">2020-10-19T09:20:00Z</dcterms:created>
  <dcterms:modified xsi:type="dcterms:W3CDTF">2020-10-19T09:20:00Z</dcterms:modified>
</cp:coreProperties>
</file>