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769779DF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E54407">
        <w:rPr>
          <w:rFonts w:cstheme="minorHAnsi"/>
        </w:rPr>
        <w:t xml:space="preserve"> ……</w:t>
      </w:r>
      <w:r w:rsidRPr="0073453F">
        <w:rPr>
          <w:rFonts w:cstheme="minorHAnsi"/>
        </w:rPr>
        <w:t>/202</w:t>
      </w:r>
      <w:r w:rsidR="001413C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24C3081A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E54407">
        <w:rPr>
          <w:rFonts w:cstheme="minorHAnsi"/>
        </w:rPr>
        <w:t>…..</w:t>
      </w:r>
      <w:r w:rsidR="00262726">
        <w:rPr>
          <w:rFonts w:cstheme="minorHAnsi"/>
        </w:rPr>
        <w:t xml:space="preserve"> sierpnia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1413C0">
        <w:rPr>
          <w:rFonts w:cstheme="minorHAnsi"/>
        </w:rPr>
        <w:t>3</w:t>
      </w:r>
      <w:r w:rsidR="008975CD" w:rsidRPr="0073453F">
        <w:rPr>
          <w:rFonts w:cstheme="minorHAnsi"/>
        </w:rPr>
        <w:t xml:space="preserve"> roku</w:t>
      </w:r>
    </w:p>
    <w:p w14:paraId="00F78604" w14:textId="77777777" w:rsidR="0073453F" w:rsidRDefault="0073453F" w:rsidP="009C57BC">
      <w:pPr>
        <w:pStyle w:val="Akapitzlist"/>
        <w:spacing w:after="120"/>
        <w:ind w:left="0"/>
        <w:contextualSpacing w:val="0"/>
        <w:jc w:val="both"/>
        <w:rPr>
          <w:rFonts w:cstheme="minorHAnsi"/>
          <w:i/>
        </w:rPr>
      </w:pPr>
      <w:bookmarkStart w:id="0" w:name="_Hlk71886686"/>
    </w:p>
    <w:p w14:paraId="63A607A8" w14:textId="4F445CEB" w:rsidR="00F67F6F" w:rsidRPr="00B173E5" w:rsidRDefault="00F67F6F" w:rsidP="003C3EC2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</w:rPr>
      </w:pPr>
      <w:r w:rsidRPr="0073453F">
        <w:rPr>
          <w:rFonts w:cstheme="minorHAnsi"/>
          <w:i/>
        </w:rPr>
        <w:t xml:space="preserve">w sprawie powołania </w:t>
      </w:r>
      <w:r w:rsidR="003C3EC2">
        <w:rPr>
          <w:rFonts w:cstheme="minorHAnsi"/>
          <w:i/>
        </w:rPr>
        <w:t xml:space="preserve">Zespołu do przeprowadzenia kontroli w zakresie realizacji wykonania planu dochodów i wydatków budżetowych w 2021 r. – zgodność sprawozdań budżetowych Rb-27S i Rb-28S </w:t>
      </w:r>
      <w:r w:rsidR="00E54407">
        <w:rPr>
          <w:rFonts w:cstheme="minorHAnsi"/>
          <w:i/>
        </w:rPr>
        <w:br/>
      </w:r>
      <w:r w:rsidR="003C3EC2">
        <w:rPr>
          <w:rFonts w:cstheme="minorHAnsi"/>
          <w:i/>
        </w:rPr>
        <w:t>z ewidencją księgową.</w:t>
      </w:r>
    </w:p>
    <w:bookmarkEnd w:id="0"/>
    <w:p w14:paraId="135A9001" w14:textId="77777777" w:rsidR="0073453F" w:rsidRDefault="0073453F" w:rsidP="009C57BC">
      <w:pPr>
        <w:widowControl w:val="0"/>
        <w:tabs>
          <w:tab w:val="left" w:pos="2160"/>
        </w:tabs>
        <w:spacing w:after="120"/>
        <w:jc w:val="both"/>
        <w:rPr>
          <w:rFonts w:cstheme="minorHAnsi"/>
        </w:rPr>
      </w:pPr>
    </w:p>
    <w:p w14:paraId="1DC3405D" w14:textId="2E9ADFC3" w:rsidR="00062989" w:rsidRPr="0073453F" w:rsidRDefault="00700BE0" w:rsidP="0039045F">
      <w:pPr>
        <w:spacing w:line="240" w:lineRule="auto"/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3C3EC2">
        <w:rPr>
          <w:rFonts w:cstheme="minorHAnsi"/>
        </w:rPr>
        <w:t>34 ust</w:t>
      </w:r>
      <w:r w:rsidR="00960113">
        <w:rPr>
          <w:rFonts w:cstheme="minorHAnsi"/>
        </w:rPr>
        <w:t>.</w:t>
      </w:r>
      <w:r w:rsidR="003C3EC2">
        <w:rPr>
          <w:rFonts w:cstheme="minorHAnsi"/>
        </w:rPr>
        <w:t xml:space="preserve"> 1 ustaw</w:t>
      </w:r>
      <w:r w:rsidR="00960113">
        <w:rPr>
          <w:rFonts w:cstheme="minorHAnsi"/>
        </w:rPr>
        <w:t>y</w:t>
      </w:r>
      <w:r w:rsidR="003C3EC2">
        <w:rPr>
          <w:rFonts w:cstheme="minorHAnsi"/>
        </w:rPr>
        <w:t xml:space="preserve"> z dnia 5 czerwca 1998 r. o samorządzie powiatowym (Dz. U. 2022, poz. 1526</w:t>
      </w:r>
      <w:r w:rsidR="009C57BC">
        <w:rPr>
          <w:rFonts w:cstheme="minorHAnsi"/>
        </w:rPr>
        <w:t xml:space="preserve"> z </w:t>
      </w:r>
      <w:proofErr w:type="spellStart"/>
      <w:r w:rsidR="009C57BC">
        <w:rPr>
          <w:rFonts w:cstheme="minorHAnsi"/>
        </w:rPr>
        <w:t>późn</w:t>
      </w:r>
      <w:proofErr w:type="spellEnd"/>
      <w:r w:rsidR="009C57BC">
        <w:rPr>
          <w:rFonts w:cstheme="minorHAnsi"/>
        </w:rPr>
        <w:t>. zm.</w:t>
      </w:r>
      <w:r w:rsidR="003C3EC2">
        <w:rPr>
          <w:rFonts w:cstheme="minorHAnsi"/>
        </w:rPr>
        <w:t>), art. 69 ust. 1 pkt 2 ustawy z dnia 27 sierpnia 2009 r. o finansach publicznych (Dz. U. 202</w:t>
      </w:r>
      <w:r w:rsidR="007E1FB4">
        <w:rPr>
          <w:rFonts w:cstheme="minorHAnsi"/>
        </w:rPr>
        <w:t>3</w:t>
      </w:r>
      <w:r w:rsidR="003C3EC2">
        <w:rPr>
          <w:rFonts w:cstheme="minorHAnsi"/>
        </w:rPr>
        <w:t>, poz. 1</w:t>
      </w:r>
      <w:r w:rsidR="007E1FB4">
        <w:rPr>
          <w:rFonts w:cstheme="minorHAnsi"/>
        </w:rPr>
        <w:t>270</w:t>
      </w:r>
      <w:r w:rsidR="009C57BC">
        <w:rPr>
          <w:rFonts w:cstheme="minorHAnsi"/>
        </w:rPr>
        <w:t xml:space="preserve"> z </w:t>
      </w:r>
      <w:proofErr w:type="spellStart"/>
      <w:r w:rsidR="009C57BC">
        <w:rPr>
          <w:rFonts w:cstheme="minorHAnsi"/>
        </w:rPr>
        <w:t>późn</w:t>
      </w:r>
      <w:proofErr w:type="spellEnd"/>
      <w:r w:rsidR="009C57BC">
        <w:rPr>
          <w:rFonts w:cstheme="minorHAnsi"/>
        </w:rPr>
        <w:t>. zm.</w:t>
      </w:r>
      <w:r w:rsidR="003C3EC2">
        <w:rPr>
          <w:rFonts w:cstheme="minorHAnsi"/>
        </w:rPr>
        <w:t>) i zgodnie z Zarządzeniem Nr 2/2021 Starosty Powiatu Wyszkowskiego z dnia 28 stycznia 2021r r. w sprawie organizacji i zasad funkcjonowania kontroli zarządczej w Starostwie Powiatowym w Wyszkowie i jednostkach organizacyjnych Powiatu Wyszkowskiego zarządzam, co następuje:</w:t>
      </w:r>
      <w:r w:rsidR="00062989" w:rsidRPr="0073453F">
        <w:rPr>
          <w:rFonts w:cstheme="minorHAnsi"/>
        </w:rPr>
        <w:t xml:space="preserve">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556218C" w:rsidR="00F67F6F" w:rsidRDefault="003C3EC2" w:rsidP="00F67F6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Zarządzam przeprowadzenie kontroli w zakresie realizacji wykonania planu dochodów i wydatków budżetowych w 2021 r. – zgodność sprawozdań budżetowych Rb-27S i Rb-28S z ewidencją księgową </w:t>
      </w:r>
      <w:r w:rsidR="00E54407">
        <w:rPr>
          <w:rFonts w:cstheme="minorHAnsi"/>
        </w:rPr>
        <w:br/>
      </w:r>
      <w:r>
        <w:rPr>
          <w:rFonts w:cstheme="minorHAnsi"/>
        </w:rPr>
        <w:t xml:space="preserve">w Specjalnym Ośrodku </w:t>
      </w:r>
      <w:proofErr w:type="spellStart"/>
      <w:r>
        <w:rPr>
          <w:rFonts w:cstheme="minorHAnsi"/>
        </w:rPr>
        <w:t>Szkolno</w:t>
      </w:r>
      <w:proofErr w:type="spellEnd"/>
      <w:r>
        <w:rPr>
          <w:rFonts w:cstheme="minorHAnsi"/>
        </w:rPr>
        <w:t xml:space="preserve"> – Wychowawczym im. Marii Konopnickiej w Wyszkowie.</w:t>
      </w:r>
    </w:p>
    <w:p w14:paraId="608D45CA" w14:textId="77777777" w:rsidR="003C3EC2" w:rsidRPr="0073453F" w:rsidRDefault="003C3EC2" w:rsidP="003C3EC2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0C2EBD06" w14:textId="1A7550EA" w:rsidR="003C3EC2" w:rsidRDefault="00C03142" w:rsidP="00F67F6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 przeprowadzenia</w:t>
      </w:r>
      <w:r w:rsidR="003C3EC2">
        <w:rPr>
          <w:rFonts w:cstheme="minorHAnsi"/>
        </w:rPr>
        <w:t xml:space="preserve"> kontroli w Specjalnym Ośrodku </w:t>
      </w:r>
      <w:proofErr w:type="spellStart"/>
      <w:r w:rsidR="003C3EC2">
        <w:rPr>
          <w:rFonts w:cstheme="minorHAnsi"/>
        </w:rPr>
        <w:t>Szkolno</w:t>
      </w:r>
      <w:proofErr w:type="spellEnd"/>
      <w:r w:rsidR="003C3EC2">
        <w:rPr>
          <w:rFonts w:cstheme="minorHAnsi"/>
        </w:rPr>
        <w:t xml:space="preserve"> – Wychowawczym im. Marii Konopnickiej w Wyszkowie powołuję zespół:</w:t>
      </w:r>
      <w:bookmarkStart w:id="1" w:name="_GoBack"/>
      <w:bookmarkEnd w:id="1"/>
    </w:p>
    <w:p w14:paraId="056E5BAC" w14:textId="77CFE69E" w:rsidR="003C3EC2" w:rsidRDefault="00E54407" w:rsidP="00E544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Monika </w:t>
      </w:r>
      <w:proofErr w:type="spellStart"/>
      <w:r>
        <w:rPr>
          <w:rFonts w:cstheme="minorHAnsi"/>
        </w:rPr>
        <w:t>Wykowska</w:t>
      </w:r>
      <w:proofErr w:type="spellEnd"/>
      <w:r w:rsidR="003D64F7">
        <w:rPr>
          <w:rFonts w:cstheme="minorHAnsi"/>
        </w:rPr>
        <w:t xml:space="preserve"> –</w:t>
      </w:r>
      <w:r w:rsidR="005E2C7D">
        <w:rPr>
          <w:rFonts w:cstheme="minorHAnsi"/>
        </w:rPr>
        <w:t xml:space="preserve"> I</w:t>
      </w:r>
      <w:r w:rsidR="003D64F7">
        <w:rPr>
          <w:rFonts w:cstheme="minorHAnsi"/>
        </w:rPr>
        <w:t xml:space="preserve">nspektor ds. </w:t>
      </w:r>
      <w:r w:rsidR="00FC3659">
        <w:rPr>
          <w:rFonts w:cstheme="minorHAnsi"/>
        </w:rPr>
        <w:t>rozliczeń podatku VAT</w:t>
      </w:r>
      <w:r w:rsidR="003D64F7">
        <w:rPr>
          <w:rFonts w:cstheme="minorHAnsi"/>
        </w:rPr>
        <w:t>;</w:t>
      </w:r>
    </w:p>
    <w:p w14:paraId="4229D62D" w14:textId="10E3C37E" w:rsidR="003D64F7" w:rsidRDefault="003D64F7" w:rsidP="00E544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Ewa Karczewska – </w:t>
      </w:r>
      <w:r w:rsidR="005E2C7D">
        <w:rPr>
          <w:rFonts w:cstheme="minorHAnsi"/>
        </w:rPr>
        <w:t>I</w:t>
      </w:r>
      <w:r>
        <w:rPr>
          <w:rFonts w:cstheme="minorHAnsi"/>
        </w:rPr>
        <w:t>nspektor ds. windykacji</w:t>
      </w:r>
    </w:p>
    <w:p w14:paraId="79A788D4" w14:textId="5A0A4F11" w:rsidR="00F67F6F" w:rsidRPr="003D64F7" w:rsidRDefault="00F67F6F" w:rsidP="003D64F7">
      <w:pPr>
        <w:pStyle w:val="Akapitzlist"/>
        <w:spacing w:line="240" w:lineRule="auto"/>
        <w:jc w:val="both"/>
        <w:rPr>
          <w:rFonts w:cstheme="minorHAnsi"/>
        </w:rPr>
      </w:pPr>
      <w:r w:rsidRPr="003D64F7">
        <w:rPr>
          <w:rFonts w:cstheme="minorHAnsi"/>
        </w:rPr>
        <w:t xml:space="preserve">    </w:t>
      </w:r>
    </w:p>
    <w:p w14:paraId="2B392D98" w14:textId="7B425CF2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</w:t>
      </w:r>
      <w:r w:rsidR="003D64F7">
        <w:rPr>
          <w:rFonts w:cstheme="minorHAnsi"/>
        </w:rPr>
        <w:t xml:space="preserve"> 3</w:t>
      </w:r>
      <w:r w:rsidRPr="0073453F">
        <w:rPr>
          <w:rFonts w:cstheme="minorHAnsi"/>
        </w:rPr>
        <w:t>.</w:t>
      </w:r>
    </w:p>
    <w:p w14:paraId="3BF4A747" w14:textId="77777777" w:rsidR="003D64F7" w:rsidRDefault="003D64F7" w:rsidP="00F67F6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Zakresem kontroli należy objąć:</w:t>
      </w:r>
    </w:p>
    <w:p w14:paraId="2370C50C" w14:textId="77777777" w:rsidR="003D64F7" w:rsidRDefault="003D64F7" w:rsidP="00A24A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Zagadnienia organizacyjne;</w:t>
      </w:r>
    </w:p>
    <w:p w14:paraId="26F32BA8" w14:textId="77777777" w:rsidR="003D64F7" w:rsidRDefault="003D64F7" w:rsidP="00A24A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Księgowość i sprawozdawczość:</w:t>
      </w:r>
    </w:p>
    <w:p w14:paraId="5367FF3B" w14:textId="77777777" w:rsidR="003D64F7" w:rsidRDefault="003D64F7" w:rsidP="00A24A3D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Księgi rachunkowe:</w:t>
      </w:r>
    </w:p>
    <w:p w14:paraId="073FA14E" w14:textId="77777777" w:rsidR="003D64F7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Otwarcie ksiąg rachunkowych i zachowanie ciągłości sald;</w:t>
      </w:r>
    </w:p>
    <w:p w14:paraId="5E919A72" w14:textId="77777777" w:rsidR="003D64F7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Zamknięcie ksiąg rachunkowych;</w:t>
      </w:r>
    </w:p>
    <w:p w14:paraId="0BFB6636" w14:textId="77777777" w:rsidR="003D64F7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Kompletność ksiąg rachunkowych;</w:t>
      </w:r>
    </w:p>
    <w:p w14:paraId="06301EDB" w14:textId="0F8A932F" w:rsidR="003D64F7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Dowody księgowe – prawidłowość i terminowość dokonywania zapisów księgowych</w:t>
      </w:r>
      <w:r w:rsidR="00A611C1">
        <w:rPr>
          <w:rFonts w:cstheme="minorHAnsi"/>
        </w:rPr>
        <w:t>.</w:t>
      </w:r>
    </w:p>
    <w:p w14:paraId="69886C73" w14:textId="77777777" w:rsidR="00EE6C2C" w:rsidRDefault="00EE6C2C" w:rsidP="004A2848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Sprawozdawczość budże</w:t>
      </w:r>
      <w:r w:rsidR="003D64F7">
        <w:rPr>
          <w:rFonts w:cstheme="minorHAnsi"/>
        </w:rPr>
        <w:t xml:space="preserve">towa </w:t>
      </w:r>
      <w:r>
        <w:rPr>
          <w:rFonts w:cstheme="minorHAnsi"/>
        </w:rPr>
        <w:t>oraz w zakresie operacji finansowych:</w:t>
      </w:r>
    </w:p>
    <w:p w14:paraId="15950874" w14:textId="77777777" w:rsidR="00EE6C2C" w:rsidRDefault="00EE6C2C" w:rsidP="004A2848">
      <w:pPr>
        <w:pStyle w:val="Akapitzlist"/>
        <w:numPr>
          <w:ilvl w:val="0"/>
          <w:numId w:val="8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Terminowość przekazywania sprawozdań Zarządowi Powiatu;</w:t>
      </w:r>
    </w:p>
    <w:p w14:paraId="5DCDA00D" w14:textId="77777777" w:rsidR="00EE6C2C" w:rsidRDefault="00EE6C2C" w:rsidP="004A2848">
      <w:pPr>
        <w:pStyle w:val="Akapitzlist"/>
        <w:numPr>
          <w:ilvl w:val="0"/>
          <w:numId w:val="8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Zgodność danych wykazanych w sprawozdaniach Rb-27S, Rb-28S, Rb-N, Rb-Z z ewidencją księgową.</w:t>
      </w:r>
    </w:p>
    <w:p w14:paraId="424BFC8D" w14:textId="77777777" w:rsidR="00EE6C2C" w:rsidRDefault="00EE6C2C" w:rsidP="00E54407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Budżet jednostki:</w:t>
      </w:r>
    </w:p>
    <w:p w14:paraId="214A6DE9" w14:textId="77777777" w:rsidR="00EE6C2C" w:rsidRDefault="00EE6C2C" w:rsidP="00E54407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Dochody budżetowe i rozliczenia z budżetem powiatu:</w:t>
      </w:r>
    </w:p>
    <w:p w14:paraId="2120240E" w14:textId="77777777" w:rsidR="00EE6C2C" w:rsidRDefault="00EE6C2C" w:rsidP="00E54407">
      <w:pPr>
        <w:pStyle w:val="Akapitzlist"/>
        <w:numPr>
          <w:ilvl w:val="0"/>
          <w:numId w:val="10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Dochody z majątku;</w:t>
      </w:r>
    </w:p>
    <w:p w14:paraId="3FE4A912" w14:textId="77777777" w:rsidR="00EE6C2C" w:rsidRDefault="00EE6C2C" w:rsidP="00E54407">
      <w:pPr>
        <w:pStyle w:val="Akapitzlist"/>
        <w:numPr>
          <w:ilvl w:val="0"/>
          <w:numId w:val="10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Inne dochody.</w:t>
      </w:r>
    </w:p>
    <w:p w14:paraId="73367F21" w14:textId="0451EB2E" w:rsidR="00EE6C2C" w:rsidRDefault="00EE6C2C" w:rsidP="00E54407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Wydatki budżetowe, z uwzględnienie</w:t>
      </w:r>
      <w:r w:rsidR="00E54407">
        <w:rPr>
          <w:rFonts w:cstheme="minorHAnsi"/>
        </w:rPr>
        <w:t>m</w:t>
      </w:r>
      <w:r>
        <w:rPr>
          <w:rFonts w:cstheme="minorHAnsi"/>
        </w:rPr>
        <w:t xml:space="preserve"> przepisów o zamówieniach publicznych:</w:t>
      </w:r>
    </w:p>
    <w:p w14:paraId="7EF4290E" w14:textId="77777777" w:rsidR="00EE6C2C" w:rsidRDefault="00EE6C2C" w:rsidP="00E54407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Wydatki bieżące;</w:t>
      </w:r>
    </w:p>
    <w:p w14:paraId="20940DD3" w14:textId="77777777" w:rsidR="00EE6C2C" w:rsidRDefault="00EE6C2C" w:rsidP="00E54407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Wydatki majątkowe;</w:t>
      </w:r>
    </w:p>
    <w:p w14:paraId="4DB6C93E" w14:textId="38494606" w:rsidR="00EE6C2C" w:rsidRDefault="00EE6C2C" w:rsidP="00E54407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Rozliczenia z budżetem powiatu.</w:t>
      </w:r>
    </w:p>
    <w:p w14:paraId="7843774B" w14:textId="7DDC2652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lastRenderedPageBreak/>
        <w:t>§</w:t>
      </w:r>
      <w:r w:rsidR="00EE6C2C">
        <w:rPr>
          <w:rFonts w:cstheme="minorHAnsi"/>
        </w:rPr>
        <w:t xml:space="preserve"> 4</w:t>
      </w:r>
      <w:r w:rsidRPr="0073453F">
        <w:rPr>
          <w:rFonts w:cstheme="minorHAnsi"/>
        </w:rPr>
        <w:t>.</w:t>
      </w:r>
    </w:p>
    <w:p w14:paraId="449D5DA8" w14:textId="3C4543CE" w:rsidR="00EE6C2C" w:rsidRDefault="00EE6C2C" w:rsidP="00E54407">
      <w:pPr>
        <w:pStyle w:val="Akapitzlist"/>
        <w:numPr>
          <w:ilvl w:val="0"/>
          <w:numId w:val="2"/>
        </w:numPr>
        <w:spacing w:line="240" w:lineRule="auto"/>
        <w:ind w:left="284" w:hanging="295"/>
        <w:jc w:val="both"/>
        <w:rPr>
          <w:rFonts w:cstheme="minorHAnsi"/>
        </w:rPr>
      </w:pPr>
      <w:r>
        <w:rPr>
          <w:rFonts w:cstheme="minorHAnsi"/>
        </w:rPr>
        <w:t>Zespół przeprowadzi kontrolę w okresie od 11.09.2023 r. do 27.10.2023 r.</w:t>
      </w:r>
    </w:p>
    <w:p w14:paraId="444C69D2" w14:textId="236F10AA" w:rsidR="00A611C1" w:rsidRPr="00844403" w:rsidRDefault="00EE6C2C" w:rsidP="00844403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cstheme="minorHAnsi"/>
        </w:rPr>
      </w:pPr>
      <w:r>
        <w:rPr>
          <w:rFonts w:cstheme="minorHAnsi"/>
        </w:rPr>
        <w:t>Kontrola odbędzie się w siedzibie Starostwa Powiatowego w Wyszkowie – pok. 11</w:t>
      </w:r>
      <w:r w:rsidR="00C03142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A611C1">
        <w:rPr>
          <w:rFonts w:cstheme="minorHAnsi"/>
        </w:rPr>
        <w:t>w Wydziale Finansowym.</w:t>
      </w:r>
      <w:r w:rsidR="00A611C1" w:rsidRPr="00844403">
        <w:rPr>
          <w:rFonts w:ascii="Calibri" w:hAnsi="Calibri" w:cs="Calibri"/>
        </w:rPr>
        <w:t xml:space="preserve">  </w:t>
      </w:r>
    </w:p>
    <w:p w14:paraId="31D3DFAA" w14:textId="3B979B0A" w:rsidR="00E612DC" w:rsidRDefault="00E612DC" w:rsidP="00E54407">
      <w:pPr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Zespół poinformuje jednostkę kontrolowaną oraz jednostkę prowadzącą obsługę finansowo – księgową o terminie kontroli.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3E6BA20E" w:rsidR="00F67F6F" w:rsidRPr="0073453F" w:rsidRDefault="00A611C1" w:rsidP="00E54407">
      <w:pPr>
        <w:pStyle w:val="Akapitzlist"/>
        <w:spacing w:line="240" w:lineRule="auto"/>
        <w:ind w:left="0"/>
        <w:contextualSpacing w:val="0"/>
        <w:jc w:val="center"/>
        <w:rPr>
          <w:rFonts w:cstheme="minorHAnsi"/>
        </w:rPr>
      </w:pPr>
      <w:r>
        <w:rPr>
          <w:rFonts w:cstheme="minorHAnsi"/>
        </w:rPr>
        <w:t>§ 5</w:t>
      </w:r>
      <w:r w:rsidR="00F67F6F" w:rsidRPr="0073453F">
        <w:rPr>
          <w:rFonts w:cstheme="minorHAnsi"/>
        </w:rPr>
        <w:t>.</w:t>
      </w:r>
    </w:p>
    <w:p w14:paraId="192FDBD2" w14:textId="78FBDE8A" w:rsidR="00F67F6F" w:rsidRPr="0073453F" w:rsidRDefault="00F67F6F" w:rsidP="00A611C1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73453F">
        <w:rPr>
          <w:rFonts w:cstheme="minorHAnsi"/>
        </w:rPr>
        <w:t xml:space="preserve">Wykonanie zarządzenia powierza się </w:t>
      </w:r>
      <w:r w:rsidR="00A611C1">
        <w:rPr>
          <w:rFonts w:cstheme="minorHAnsi"/>
        </w:rPr>
        <w:t xml:space="preserve">Naczelnikowi Wydziału Finansowego oraz Zespołowi wymienionemu w </w:t>
      </w:r>
      <w:r w:rsidR="00A611C1" w:rsidRPr="0073453F">
        <w:rPr>
          <w:rFonts w:cstheme="minorHAnsi"/>
        </w:rPr>
        <w:t>§ 2.</w:t>
      </w:r>
      <w:r w:rsidRPr="0073453F">
        <w:rPr>
          <w:rFonts w:cstheme="minorHAnsi"/>
        </w:rPr>
        <w:tab/>
      </w:r>
    </w:p>
    <w:p w14:paraId="5C10C900" w14:textId="38D0CCDD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</w:t>
      </w:r>
      <w:r w:rsidR="00A24A3D">
        <w:rPr>
          <w:rFonts w:cstheme="minorHAnsi"/>
        </w:rPr>
        <w:t xml:space="preserve"> 6</w:t>
      </w:r>
      <w:r w:rsidRPr="0073453F">
        <w:rPr>
          <w:rFonts w:cstheme="minorHAnsi"/>
        </w:rPr>
        <w:t>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E544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6851"/>
    <w:multiLevelType w:val="hybridMultilevel"/>
    <w:tmpl w:val="7E32BC02"/>
    <w:lvl w:ilvl="0" w:tplc="11BE07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81831"/>
    <w:multiLevelType w:val="hybridMultilevel"/>
    <w:tmpl w:val="547A41C6"/>
    <w:lvl w:ilvl="0" w:tplc="F11C6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C1328"/>
    <w:multiLevelType w:val="hybridMultilevel"/>
    <w:tmpl w:val="EAF41A36"/>
    <w:lvl w:ilvl="0" w:tplc="A77495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0E84F30"/>
    <w:multiLevelType w:val="hybridMultilevel"/>
    <w:tmpl w:val="56C4FFA4"/>
    <w:lvl w:ilvl="0" w:tplc="B9F0C0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D4429"/>
    <w:multiLevelType w:val="hybridMultilevel"/>
    <w:tmpl w:val="364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A1A"/>
    <w:multiLevelType w:val="hybridMultilevel"/>
    <w:tmpl w:val="9A5893AC"/>
    <w:lvl w:ilvl="0" w:tplc="08644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5750C"/>
    <w:multiLevelType w:val="hybridMultilevel"/>
    <w:tmpl w:val="48F0A200"/>
    <w:lvl w:ilvl="0" w:tplc="94A29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31243"/>
    <w:multiLevelType w:val="hybridMultilevel"/>
    <w:tmpl w:val="8AC8BED8"/>
    <w:lvl w:ilvl="0" w:tplc="4BC2AC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B020E9"/>
    <w:multiLevelType w:val="hybridMultilevel"/>
    <w:tmpl w:val="246CB960"/>
    <w:lvl w:ilvl="0" w:tplc="B13CE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13C0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62726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9045F"/>
    <w:rsid w:val="003A7814"/>
    <w:rsid w:val="003C3EC2"/>
    <w:rsid w:val="003C61D9"/>
    <w:rsid w:val="003D3C3B"/>
    <w:rsid w:val="003D579B"/>
    <w:rsid w:val="003D64F7"/>
    <w:rsid w:val="003D79E6"/>
    <w:rsid w:val="003F4134"/>
    <w:rsid w:val="003F7C3A"/>
    <w:rsid w:val="004437AA"/>
    <w:rsid w:val="00470121"/>
    <w:rsid w:val="004748BA"/>
    <w:rsid w:val="00477BEB"/>
    <w:rsid w:val="00482A09"/>
    <w:rsid w:val="004A2848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2C7D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1FB4"/>
    <w:rsid w:val="007E6BBD"/>
    <w:rsid w:val="00803DA1"/>
    <w:rsid w:val="00826578"/>
    <w:rsid w:val="00830369"/>
    <w:rsid w:val="00836AC0"/>
    <w:rsid w:val="00844403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0113"/>
    <w:rsid w:val="00961345"/>
    <w:rsid w:val="00970821"/>
    <w:rsid w:val="009A47C5"/>
    <w:rsid w:val="009C57BC"/>
    <w:rsid w:val="009D4BF8"/>
    <w:rsid w:val="00A11006"/>
    <w:rsid w:val="00A17BBA"/>
    <w:rsid w:val="00A24A3D"/>
    <w:rsid w:val="00A42122"/>
    <w:rsid w:val="00A57229"/>
    <w:rsid w:val="00A578F2"/>
    <w:rsid w:val="00A611C1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3142"/>
    <w:rsid w:val="00C06E24"/>
    <w:rsid w:val="00C32003"/>
    <w:rsid w:val="00C51860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54407"/>
    <w:rsid w:val="00E612DC"/>
    <w:rsid w:val="00E62786"/>
    <w:rsid w:val="00E74CEB"/>
    <w:rsid w:val="00E82098"/>
    <w:rsid w:val="00EA169D"/>
    <w:rsid w:val="00EB5A86"/>
    <w:rsid w:val="00EB65F3"/>
    <w:rsid w:val="00EC3DB4"/>
    <w:rsid w:val="00EC6B0D"/>
    <w:rsid w:val="00EE6C2C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C3659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Renata Ołów</cp:lastModifiedBy>
  <cp:revision>11</cp:revision>
  <cp:lastPrinted>2023-08-29T07:10:00Z</cp:lastPrinted>
  <dcterms:created xsi:type="dcterms:W3CDTF">2023-08-28T08:49:00Z</dcterms:created>
  <dcterms:modified xsi:type="dcterms:W3CDTF">2023-08-29T07:12:00Z</dcterms:modified>
</cp:coreProperties>
</file>